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1.xml" ContentType="application/vnd.ms-office.chartstyle+xml"/>
  <Override PartName="/word/charts/colors1.xml" ContentType="application/vnd.ms-office.chartcolor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Информация о количестве и тематике </w:t>
      </w:r>
      <w:r>
        <w:rPr>
          <w:rFonts w:ascii="Times New Roman" w:hAnsi="Times New Roman"/>
          <w:b/>
          <w:sz w:val="26"/>
          <w:szCs w:val="26"/>
        </w:rPr>
        <w:t xml:space="preserve">обращений граждан, поступивших </w:t>
      </w:r>
      <w:r/>
    </w:p>
    <w:p>
      <w:pPr>
        <w:jc w:val="center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  <w:r>
        <w:rPr>
          <w:rFonts w:ascii="Times New Roman" w:hAnsi="Times New Roman"/>
          <w:b/>
          <w:sz w:val="26"/>
          <w:szCs w:val="26"/>
        </w:rPr>
        <w:t xml:space="preserve">А</w:t>
      </w:r>
      <w:r>
        <w:rPr>
          <w:rFonts w:ascii="Times New Roman" w:hAnsi="Times New Roman"/>
          <w:b/>
          <w:sz w:val="26"/>
          <w:szCs w:val="26"/>
        </w:rPr>
        <w:t xml:space="preserve">дминистрацию </w:t>
      </w:r>
      <w:r>
        <w:rPr>
          <w:rFonts w:ascii="Times New Roman" w:hAnsi="Times New Roman"/>
          <w:b/>
          <w:sz w:val="26"/>
          <w:szCs w:val="26"/>
        </w:rPr>
        <w:t xml:space="preserve">городского округа Мытищи</w:t>
      </w:r>
      <w:r>
        <w:rPr>
          <w:rFonts w:ascii="Times New Roman" w:hAnsi="Times New Roman"/>
          <w:b/>
          <w:sz w:val="26"/>
          <w:szCs w:val="26"/>
        </w:rPr>
        <w:t xml:space="preserve"> в </w:t>
      </w:r>
      <w:r>
        <w:rPr>
          <w:rFonts w:ascii="Times New Roman" w:hAnsi="Times New Roman"/>
          <w:b/>
          <w:sz w:val="26"/>
          <w:szCs w:val="26"/>
        </w:rPr>
        <w:t xml:space="preserve">апреле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 xml:space="preserve">3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/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апреле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года на рассмотрение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 xml:space="preserve">городского округа Мытищи</w:t>
      </w:r>
      <w:r>
        <w:rPr>
          <w:rFonts w:ascii="Times New Roman" w:hAnsi="Times New Roman"/>
          <w:sz w:val="24"/>
          <w:szCs w:val="24"/>
        </w:rPr>
        <w:t xml:space="preserve"> поступило </w:t>
      </w:r>
      <w:r>
        <w:rPr>
          <w:rFonts w:ascii="Times New Roman" w:hAnsi="Times New Roman"/>
          <w:sz w:val="24"/>
          <w:szCs w:val="24"/>
        </w:rPr>
        <w:t xml:space="preserve">1525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обращен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contextualSpacing/>
        <w:jc w:val="center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Актуальные темы месяца</w:t>
      </w:r>
      <w:r>
        <w:rPr>
          <w:rFonts w:ascii="Times New Roman" w:hAnsi="Times New Roman"/>
          <w:i/>
          <w:sz w:val="24"/>
          <w:szCs w:val="24"/>
        </w:rPr>
        <w:t xml:space="preserve">:</w:t>
      </w:r>
      <w:r/>
    </w:p>
    <w:p>
      <w:pPr>
        <w:pStyle w:val="637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Вопросы жилищно-коммунального 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37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/>
      <w:bookmarkStart w:id="0" w:name="_Hlk119330021"/>
      <w:r>
        <w:rPr>
          <w:rFonts w:ascii="Times New Roman" w:hAnsi="Times New Roman"/>
          <w:sz w:val="24"/>
          <w:szCs w:val="24"/>
        </w:rPr>
        <w:t xml:space="preserve">Вопросы благоустройства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содержания территории</w:t>
      </w:r>
      <w:bookmarkEnd w:id="0"/>
      <w:r/>
    </w:p>
    <w:p>
      <w:pPr>
        <w:pStyle w:val="637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земельно-имущественных отношений</w:t>
      </w:r>
      <w:r/>
    </w:p>
    <w:p>
      <w:pPr>
        <w:pStyle w:val="637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безопасности дорожного движения и транспортного обслуживания </w:t>
      </w:r>
      <w:r/>
    </w:p>
    <w:p>
      <w:pPr>
        <w:pStyle w:val="637"/>
        <w:numPr>
          <w:ilvl w:val="0"/>
          <w:numId w:val="21"/>
        </w:numPr>
        <w:ind w:left="426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</w:t>
      </w:r>
      <w:r>
        <w:rPr>
          <w:rFonts w:ascii="Times New Roman" w:hAnsi="Times New Roman"/>
          <w:sz w:val="24"/>
          <w:szCs w:val="24"/>
        </w:rPr>
        <w:t xml:space="preserve">градостроительного развития</w:t>
      </w:r>
      <w:r/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529"/>
      </w:tblGrid>
      <w:tr>
        <w:trPr>
          <w:trHeight w:val="286"/>
        </w:trPr>
        <w:tc>
          <w:tcPr>
            <w:shd w:val="clear" w:color="auto" w:fill="f4ecc5"/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Вопрос деятельности</w:t>
            </w:r>
            <w:r/>
          </w:p>
        </w:tc>
        <w:tc>
          <w:tcPr>
            <w:shd w:val="clear" w:color="auto" w:fill="f4ecc5"/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Количество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жилищно-коммунального хозяйства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81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благоустройства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содержания территори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83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земельно-имущественных отношений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153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безопасности дорожного движения и транспортного обслуживания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90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территориальной безопасности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17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градостроительного развития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132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Правовые вопросы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97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образования 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41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МКУ ТУ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Пироговский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62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tabs>
                <w:tab w:val="left" w:pos="2010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МКУ ТУ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Федоскино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37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капитального строительства 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52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потребительского рынка и услуг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80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Вопросы по регулированию тарифно-ценовой политики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26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Разное </w:t>
            </w:r>
            <w:r/>
          </w:p>
        </w:tc>
        <w:tc>
          <w:tcPr>
            <w:tcBorders>
              <w:top w:val="single" w:color="CCC085" w:sz="6" w:space="0"/>
              <w:left w:val="single" w:color="CCC085" w:sz="6" w:space="0"/>
              <w:bottom w:val="single" w:color="CCC085" w:sz="6" w:space="0"/>
              <w:right w:val="single" w:color="CCC085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167</w:t>
            </w:r>
            <w:r/>
          </w:p>
        </w:tc>
      </w:tr>
    </w:tbl>
    <w:p>
      <w:pPr>
        <w:contextualSpacing/>
        <w:spacing w:after="0" w:line="360" w:lineRule="auto"/>
        <w:rPr>
          <w:rFonts w:ascii="Arial" w:hAnsi="Arial" w:cs="Arial"/>
          <w:i/>
        </w:rPr>
      </w:pPr>
      <w:r>
        <w:drawing>
          <wp:inline distT="0" distB="0" distL="0" distR="0">
            <wp:extent cx="6296025" cy="3474720"/>
            <wp:effectExtent l="0" t="0" r="9525" b="11430"/>
            <wp:docPr id="1" name="Диаграмма 1" hidden="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p>
      <w:pPr>
        <w:contextualSpacing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соответствии с утвержденным графиком проведения прием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граждан должностными</w:t>
      </w:r>
      <w:r>
        <w:rPr>
          <w:rFonts w:ascii="Times New Roman" w:hAnsi="Times New Roman"/>
          <w:i/>
          <w:sz w:val="24"/>
          <w:szCs w:val="24"/>
        </w:rPr>
        <w:t xml:space="preserve"> лицами </w:t>
      </w:r>
      <w:r>
        <w:rPr>
          <w:rFonts w:ascii="Times New Roman" w:hAnsi="Times New Roman"/>
          <w:i/>
          <w:sz w:val="24"/>
          <w:szCs w:val="24"/>
        </w:rPr>
        <w:t xml:space="preserve">А</w:t>
      </w:r>
      <w:r>
        <w:rPr>
          <w:rFonts w:ascii="Times New Roman" w:hAnsi="Times New Roman"/>
          <w:i/>
          <w:sz w:val="24"/>
          <w:szCs w:val="24"/>
        </w:rPr>
        <w:t xml:space="preserve">дминистрации, в </w:t>
      </w:r>
      <w:r>
        <w:rPr>
          <w:rFonts w:ascii="Times New Roman" w:hAnsi="Times New Roman"/>
          <w:i/>
          <w:sz w:val="24"/>
          <w:szCs w:val="24"/>
        </w:rPr>
        <w:t xml:space="preserve">апреле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202</w:t>
      </w:r>
      <w:r>
        <w:rPr>
          <w:rFonts w:ascii="Times New Roman" w:hAnsi="Times New Roman"/>
          <w:i/>
          <w:sz w:val="24"/>
          <w:szCs w:val="24"/>
        </w:rPr>
        <w:t xml:space="preserve">3</w:t>
      </w:r>
      <w:r>
        <w:rPr>
          <w:rFonts w:ascii="Times New Roman" w:hAnsi="Times New Roman"/>
          <w:i/>
          <w:sz w:val="24"/>
          <w:szCs w:val="24"/>
        </w:rPr>
        <w:t xml:space="preserve"> года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 личном приеме </w:t>
      </w:r>
      <w:r>
        <w:rPr>
          <w:rFonts w:ascii="Times New Roman" w:hAnsi="Times New Roman"/>
          <w:i/>
          <w:sz w:val="24"/>
          <w:szCs w:val="24"/>
        </w:rPr>
        <w:t xml:space="preserve">принято </w:t>
      </w:r>
      <w:r>
        <w:rPr>
          <w:rFonts w:ascii="Times New Roman" w:hAnsi="Times New Roman"/>
          <w:i/>
          <w:sz w:val="24"/>
          <w:szCs w:val="24"/>
        </w:rPr>
        <w:t xml:space="preserve">37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граждан</w:t>
      </w:r>
      <w:r>
        <w:rPr>
          <w:rFonts w:ascii="Times New Roman" w:hAnsi="Times New Roman"/>
          <w:i/>
          <w:sz w:val="24"/>
          <w:szCs w:val="24"/>
        </w:rPr>
        <w:t xml:space="preserve">.</w:t>
      </w:r>
      <w:r/>
    </w:p>
    <w:sectPr>
      <w:footnotePr/>
      <w:endnotePr/>
      <w:type w:val="nextPage"/>
      <w:pgSz w:w="11906" w:h="16838" w:orient="portrait"/>
      <w:pgMar w:top="426" w:right="707" w:bottom="0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3"/>
    <w:next w:val="63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3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3"/>
    <w:next w:val="63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3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3"/>
    <w:next w:val="63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3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3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3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3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3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3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3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3"/>
    <w:next w:val="63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34"/>
    <w:link w:val="32"/>
    <w:uiPriority w:val="10"/>
    <w:rPr>
      <w:sz w:val="48"/>
      <w:szCs w:val="48"/>
    </w:rPr>
  </w:style>
  <w:style w:type="paragraph" w:styleId="34">
    <w:name w:val="Subtitle"/>
    <w:basedOn w:val="633"/>
    <w:next w:val="63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34"/>
    <w:link w:val="34"/>
    <w:uiPriority w:val="11"/>
    <w:rPr>
      <w:sz w:val="24"/>
      <w:szCs w:val="24"/>
    </w:rPr>
  </w:style>
  <w:style w:type="paragraph" w:styleId="36">
    <w:name w:val="Quote"/>
    <w:basedOn w:val="633"/>
    <w:next w:val="63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3"/>
    <w:next w:val="63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3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34"/>
    <w:link w:val="40"/>
    <w:uiPriority w:val="99"/>
  </w:style>
  <w:style w:type="paragraph" w:styleId="42">
    <w:name w:val="Footer"/>
    <w:basedOn w:val="63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34"/>
    <w:link w:val="42"/>
    <w:uiPriority w:val="99"/>
  </w:style>
  <w:style w:type="paragraph" w:styleId="44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4"/>
    <w:uiPriority w:val="99"/>
    <w:unhideWhenUsed/>
    <w:rPr>
      <w:vertAlign w:val="superscript"/>
    </w:rPr>
  </w:style>
  <w:style w:type="paragraph" w:styleId="176">
    <w:name w:val="endnote text"/>
    <w:basedOn w:val="63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4"/>
    <w:uiPriority w:val="99"/>
    <w:semiHidden/>
    <w:unhideWhenUsed/>
    <w:rPr>
      <w:vertAlign w:val="superscript"/>
    </w:rPr>
  </w:style>
  <w:style w:type="paragraph" w:styleId="179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  <w:rPr>
      <w:rFonts w:ascii="Calibri" w:hAnsi="Calibri" w:cs="Times New Roman" w:eastAsia="Calibri"/>
    </w:rPr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List Paragraph"/>
    <w:basedOn w:val="633"/>
    <w:uiPriority w:val="34"/>
    <w:qFormat/>
    <w:pPr>
      <w:contextualSpacing/>
      <w:ind w:left="720"/>
    </w:pPr>
  </w:style>
  <w:style w:type="paragraph" w:styleId="638">
    <w:name w:val="Balloon Text"/>
    <w:basedOn w:val="633"/>
    <w:link w:val="6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9" w:customStyle="1">
    <w:name w:val="Текст выноски Знак"/>
    <w:basedOn w:val="634"/>
    <w:link w:val="638"/>
    <w:uiPriority w:val="99"/>
    <w:semiHidden/>
    <w:rPr>
      <w:rFonts w:ascii="Tahoma" w:hAnsi="Tahoma" w:cs="Tahoma" w:eastAsia="Calibri"/>
      <w:sz w:val="16"/>
      <w:szCs w:val="16"/>
    </w:rPr>
  </w:style>
  <w:style w:type="paragraph" w:styleId="640">
    <w:name w:val="Normal (Web)"/>
    <w:basedOn w:val="63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071868643749707509"/>
          <c:y val="0.094476156469025047"/>
          <c:w val="0.45010016294233257"/>
          <c:h val="0.78703221764119646"/>
        </c:manualLayout>
      </c:layout>
      <c:pieChart>
        <c:varyColors val="1"/>
        <c:ser>
          <c:idx val="0"/>
          <c:order val="0"/>
          <c:dPt>
            <c:idx val="0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/>
                  </a:gs>
                  <a:gs pos="100000">
                    <a:schemeClr val="accent1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noFill/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2"/>
                  </a:gs>
                  <a:gs pos="100000">
                    <a:schemeClr val="accent2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3"/>
                  </a:gs>
                  <a:gs pos="100000">
                    <a:schemeClr val="accent3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4"/>
                  </a:gs>
                  <a:gs pos="100000">
                    <a:schemeClr val="accent4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5"/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6"/>
                  </a:gs>
                  <a:gs pos="100000">
                    <a:schemeClr val="accent6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>
                      <a:lumMod val="60000"/>
                    </a:schemeClr>
                  </a:gs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2">
                      <a:lumMod val="60000"/>
                    </a:schemeClr>
                  </a:gs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3">
                      <a:lumMod val="60000"/>
                    </a:schemeClr>
                  </a:gs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4">
                      <a:lumMod val="60000"/>
                    </a:schemeClr>
                  </a:gs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5">
                      <a:lumMod val="60000"/>
                    </a:schemeClr>
                  </a:gs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6">
                      <a:lumMod val="60000"/>
                    </a:schemeClr>
                  </a:gs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>
                      <a:lumMod val="80000"/>
                      <a:lumOff val="20000"/>
                    </a:schemeClr>
                  </a:gs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2">
                      <a:lumMod val="80000"/>
                      <a:lumOff val="2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Лист1!$A$1:$A$14</c:f>
              <c:strCache>
                <c:ptCount val="14"/>
                <c:pt idx="0">
                  <c:v xml:space="preserve">Вопросы жилищно-коммунального хозяйства - 7,25 %</c:v>
                </c:pt>
                <c:pt idx="1">
                  <c:v xml:space="preserve">Вопросы благоустройства и содержания территории - 7,42 %</c:v>
                </c:pt>
                <c:pt idx="2">
                  <c:v xml:space="preserve">Вопросы земельно-имущественных отношений - 13,69 %</c:v>
                </c:pt>
                <c:pt idx="3">
                  <c:v xml:space="preserve">Вопросы безопасности дорожного движения и транспортного обслуживания - 8,05 %</c:v>
                </c:pt>
                <c:pt idx="4">
                  <c:v xml:space="preserve">Вопросы территориальной безопасности - 1,52 %</c:v>
                </c:pt>
                <c:pt idx="5">
                  <c:v xml:space="preserve">Вопросы градостроительного развития - 11,81 %</c:v>
                </c:pt>
                <c:pt idx="6">
                  <c:v xml:space="preserve">Правовые вопросы - 8,68 %</c:v>
                </c:pt>
                <c:pt idx="7">
                  <c:v xml:space="preserve">Вопросы образования  - 3,67 %</c:v>
                </c:pt>
                <c:pt idx="8">
                  <c:v xml:space="preserve">Вопросы МКУ ТУ &lt;&lt;Пироговский&gt;&gt; - 5,55 %</c:v>
                </c:pt>
                <c:pt idx="9">
                  <c:v xml:space="preserve">Вопросы МКУ ТУ &lt;&lt;Федоскино&gt;&gt; - 3,31 %</c:v>
                </c:pt>
                <c:pt idx="10">
                  <c:v xml:space="preserve">Вопросы капитального строительства  - 4,65 %</c:v>
                </c:pt>
                <c:pt idx="11">
                  <c:v xml:space="preserve">Вопросы потребительского рынка и услуг - 7,16 %</c:v>
                </c:pt>
                <c:pt idx="12">
                  <c:v xml:space="preserve">Вопросы по регулированию тарифно-ценовой политики - 2,33 %</c:v>
                </c:pt>
                <c:pt idx="13">
                  <c:v xml:space="preserve">Разное - 14,94 %</c:v>
                </c:pt>
              </c:strCache>
            </c:strRef>
          </c:cat>
          <c:val>
            <c:numRef>
              <c:f>Лист1!$D$1:$D$14</c:f>
              <c:numCache>
                <c:formatCode>General</c:formatCode>
                <c:ptCount val="14"/>
                <c:pt idx="0">
                  <c:v>7.2450805008944545</c:v>
                </c:pt>
                <c:pt idx="1">
                  <c:v>7.4239713774597496</c:v>
                </c:pt>
                <c:pt idx="2">
                  <c:v>13.685152057245082</c:v>
                </c:pt>
                <c:pt idx="3">
                  <c:v>8.050089445438283</c:v>
                </c:pt>
                <c:pt idx="4">
                  <c:v>1.520572450805009</c:v>
                </c:pt>
                <c:pt idx="5">
                  <c:v>11.806797853309481</c:v>
                </c:pt>
                <c:pt idx="6">
                  <c:v>8.676207513416816</c:v>
                </c:pt>
                <c:pt idx="7">
                  <c:v>3.667262969588551</c:v>
                </c:pt>
                <c:pt idx="8">
                  <c:v>5.545617173524151</c:v>
                </c:pt>
                <c:pt idx="9">
                  <c:v>3.309481216457961</c:v>
                </c:pt>
                <c:pt idx="10">
                  <c:v>4.651162790697675</c:v>
                </c:pt>
                <c:pt idx="11">
                  <c:v>7.155635062611807</c:v>
                </c:pt>
                <c:pt idx="12">
                  <c:v>2.3255813953488373</c:v>
                </c:pt>
                <c:pt idx="13">
                  <c:v>14.937388193202148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0"/>
        </c:dLbls>
        <c:firstSliceAng val="0"/>
      </c:pieChart>
      <c:spPr bwMode="auto">
        <a:prstGeom prst="rect">
          <a:avLst/>
        </a:prstGeom>
        <a:noFill/>
        <a:ln>
          <a:noFill/>
        </a:ln>
        <a:effectLst/>
      </c:spPr>
    </c:plotArea>
    <c:legend>
      <c:legendPos val="r"/>
      <c:legendEntry>
        <c:idx val="13"/>
        <c:delete val="1"/>
      </c:legendEntry>
      <c:layout>
        <c:manualLayout>
          <c:xMode val="edge"/>
          <c:yMode val="edge"/>
          <c:x val="0.46791896991570997"/>
          <c:y val="0.034472638510036388"/>
          <c:w val="0.52162351661475193"/>
          <c:h val="0.94324495481246473"/>
        </c:manualLayout>
      </c:layout>
      <c:overlay val="1"/>
      <c:spPr bwMode="auto">
        <a:prstGeom prst="rect">
          <a:avLst/>
        </a:prstGeom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900" b="0" i="0" u="none" strike="noStrike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cap="none" spc="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 bwMode="auto">
      <a:prstGeom prst="rect">
        <a:avLst/>
      </a:prstGeom>
      <a:gradFill>
        <a:gsLst>
          <a:gs pos="0">
            <a:schemeClr val="phClr"/>
          </a:gs>
          <a:gs pos="100000">
            <a:schemeClr val="phClr">
              <a:lumMod val="60000"/>
              <a:lumOff val="40000"/>
            </a:schemeClr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 bwMode="auto">
      <a:prstGeom prst="rect">
        <a:avLst/>
      </a:prstGeom>
      <a:gradFill>
        <a:gsLst>
          <a:gs pos="0">
            <a:schemeClr val="phClr"/>
          </a:gs>
          <a:gs pos="100000">
            <a:schemeClr val="phClr">
              <a:lumMod val="60000"/>
              <a:lumOff val="40000"/>
            </a:schemeClr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15875">
        <a:solidFill>
          <a:schemeClr val="phClr"/>
        </a:solidFill>
        <a:round/>
      </a:ln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>
          <a:alpha val="50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spc="0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Силуянова Антонина</cp:lastModifiedBy>
  <cp:revision>38</cp:revision>
  <dcterms:created xsi:type="dcterms:W3CDTF">2023-01-09T07:10:00Z</dcterms:created>
  <dcterms:modified xsi:type="dcterms:W3CDTF">2023-05-04T13:07:59Z</dcterms:modified>
</cp:coreProperties>
</file>